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证券经纪业务全貌介绍</w:t>
      </w:r>
    </w:p>
    <w:p>
      <w:pPr>
        <w:jc w:val="center"/>
      </w:pPr>
      <w:r>
        <w:rPr>
          <w:i/>
        </w:rPr>
        <w:t>业务架构与运营全景指南</w:t>
      </w:r>
    </w:p>
    <w:p>
      <w:pPr>
        <w:jc w:val="center"/>
      </w:pPr>
      <w:r>
        <w:t>生成时间：2026年04月13日 14:00</w:t>
      </w:r>
    </w:p>
    <w:p/>
    <w:p>
      <w:pPr>
        <w:pStyle w:val="Heading1"/>
      </w:pPr>
      <w:r>
        <w:t>目录</w:t>
      </w:r>
    </w:p>
    <w:p>
      <w:pPr>
        <w:pStyle w:val="ListBullet"/>
      </w:pPr>
      <w:r>
        <w:t>一、业务全景图</w:t>
      </w:r>
    </w:p>
    <w:p>
      <w:pPr>
        <w:pStyle w:val="ListBullet"/>
      </w:pPr>
      <w:r>
        <w:t>二、六大核心维度</w:t>
      </w:r>
    </w:p>
    <w:p>
      <w:pPr>
        <w:pStyle w:val="ListBullet"/>
      </w:pPr>
      <w:r>
        <w:t xml:space="preserve">  1. 价值链（Value Chain）</w:t>
      </w:r>
    </w:p>
    <w:p>
      <w:pPr>
        <w:pStyle w:val="ListBullet"/>
      </w:pPr>
      <w:r>
        <w:t xml:space="preserve">  2. 客户旅程（Customer Journey）</w:t>
      </w:r>
    </w:p>
    <w:p>
      <w:pPr>
        <w:pStyle w:val="ListBullet"/>
      </w:pPr>
      <w:r>
        <w:t xml:space="preserve">  3. 产品与服务体系</w:t>
      </w:r>
    </w:p>
    <w:p>
      <w:pPr>
        <w:pStyle w:val="ListBullet"/>
      </w:pPr>
      <w:r>
        <w:t xml:space="preserve">  4. 业务流程全景</w:t>
      </w:r>
    </w:p>
    <w:p>
      <w:pPr>
        <w:pStyle w:val="ListBullet"/>
      </w:pPr>
      <w:r>
        <w:t xml:space="preserve">  5. 组织架构</w:t>
      </w:r>
    </w:p>
    <w:p>
      <w:pPr>
        <w:pStyle w:val="ListBullet"/>
      </w:pPr>
      <w:r>
        <w:t xml:space="preserve">  6. 技术架构</w:t>
      </w:r>
    </w:p>
    <w:p>
      <w:pPr>
        <w:pStyle w:val="ListBullet"/>
      </w:pPr>
      <w:r>
        <w:t>三、监管与合规框架</w:t>
      </w:r>
    </w:p>
    <w:p>
      <w:pPr>
        <w:pStyle w:val="ListBullet"/>
      </w:pPr>
      <w:r>
        <w:t>四、盈利模式</w:t>
      </w:r>
    </w:p>
    <w:p>
      <w:pPr>
        <w:pStyle w:val="ListBullet"/>
      </w:pPr>
      <w:r>
        <w:t>五、核心指标体系</w:t>
      </w:r>
    </w:p>
    <w:p>
      <w:pPr>
        <w:pStyle w:val="ListBullet"/>
      </w:pPr>
      <w:r>
        <w:t>六、业务全貌总结</w:t>
      </w:r>
    </w:p>
    <w:p>
      <w:r>
        <w:br w:type="page"/>
      </w:r>
    </w:p>
    <w:p>
      <w:pPr>
        <w:pStyle w:val="Heading1"/>
      </w:pPr>
      <w:r>
        <w:t>一、业务全景图</w:t>
      </w:r>
    </w:p>
    <w:p>
      <w:r>
        <w:t>证券经纪业务是连接投资者与资本市场的桥梁，核心是为客户提供证券交易通道及相关金融服务。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c>
          <w:tcPr>
            <w:tcW w:type="dxa" w:w="1080"/>
          </w:tcPr>
          <w:p>
            <w:pPr>
              <w:jc w:val="center"/>
            </w:pPr>
            <w:r>
              <w:rPr>
                <w:b/>
              </w:rPr>
              <w:t>业务环节</w:t>
            </w:r>
          </w:p>
        </w:tc>
        <w:tc>
          <w:tcPr>
            <w:tcW w:type="dxa" w:w="1080"/>
          </w:tcPr>
          <w:p>
            <w:pPr>
              <w:jc w:val="center"/>
            </w:pPr>
            <w:r>
              <w:rPr>
                <w:b/>
              </w:rPr>
              <w:t>客户</w:t>
            </w:r>
          </w:p>
        </w:tc>
        <w:tc>
          <w:tcPr>
            <w:tcW w:type="dxa" w:w="1080"/>
          </w:tcPr>
          <w:p>
            <w:pPr>
              <w:jc w:val="center"/>
            </w:pPr>
            <w:r>
              <w:rPr>
                <w:b/>
              </w:rPr>
              <w:t>开户</w:t>
            </w:r>
          </w:p>
        </w:tc>
        <w:tc>
          <w:tcPr>
            <w:tcW w:type="dxa" w:w="1080"/>
          </w:tcPr>
          <w:p>
            <w:pPr>
              <w:jc w:val="center"/>
            </w:pPr>
            <w:r>
              <w:rPr>
                <w:b/>
              </w:rPr>
              <w:t>入金</w:t>
            </w:r>
          </w:p>
        </w:tc>
        <w:tc>
          <w:tcPr>
            <w:tcW w:type="dxa" w:w="1080"/>
          </w:tcPr>
          <w:p>
            <w:pPr>
              <w:jc w:val="center"/>
            </w:pPr>
            <w:r>
              <w:rPr>
                <w:b/>
              </w:rPr>
              <w:t>交易</w:t>
            </w:r>
          </w:p>
        </w:tc>
        <w:tc>
          <w:tcPr>
            <w:tcW w:type="dxa" w:w="1080"/>
          </w:tcPr>
          <w:p>
            <w:pPr>
              <w:jc w:val="center"/>
            </w:pPr>
            <w:r>
              <w:rPr>
                <w:b/>
              </w:rPr>
              <w:t>清算</w:t>
            </w:r>
          </w:p>
        </w:tc>
        <w:tc>
          <w:tcPr>
            <w:tcW w:type="dxa" w:w="1080"/>
          </w:tcPr>
          <w:p>
            <w:pPr>
              <w:jc w:val="center"/>
            </w:pPr>
            <w:r>
              <w:rPr>
                <w:b/>
              </w:rPr>
              <w:t>交收</w:t>
            </w:r>
          </w:p>
        </w:tc>
        <w:tc>
          <w:tcPr>
            <w:tcW w:type="dxa" w:w="1080"/>
          </w:tcPr>
          <w:p>
            <w:pPr>
              <w:jc w:val="center"/>
            </w:pPr>
            <w:r>
              <w:rPr>
                <w:b/>
              </w:rPr>
              <w:t>服务</w:t>
            </w:r>
          </w:p>
        </w:tc>
      </w:tr>
      <w:tr>
        <w:tc>
          <w:tcPr>
            <w:tcW w:type="dxa" w:w="1080"/>
          </w:tcPr>
          <w:p>
            <w:r>
              <w:t>获客</w:t>
            </w:r>
          </w:p>
        </w:tc>
        <w:tc>
          <w:tcPr>
            <w:tcW w:type="dxa" w:w="1080"/>
          </w:tcPr>
          <w:p>
            <w:r>
              <w:t>营销推广</w:t>
            </w:r>
          </w:p>
        </w:tc>
        <w:tc>
          <w:tcPr>
            <w:tcW w:type="dxa" w:w="1080"/>
          </w:tcPr>
          <w:p>
            <w:r>
              <w:t>渠道合作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  <w:tr>
        <w:tc>
          <w:tcPr>
            <w:tcW w:type="dxa" w:w="1080"/>
          </w:tcPr>
          <w:p>
            <w:r>
              <w:t>开户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>
              <w:t>KYC 认证</w:t>
            </w:r>
          </w:p>
        </w:tc>
        <w:tc>
          <w:tcPr>
            <w:tcW w:type="dxa" w:w="1080"/>
          </w:tcPr>
          <w:p>
            <w:r>
              <w:t>账户开立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  <w:tr>
        <w:tc>
          <w:tcPr>
            <w:tcW w:type="dxa" w:w="1080"/>
          </w:tcPr>
          <w:p>
            <w:r>
              <w:t>入金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>
              <w:t>银证转账</w:t>
            </w:r>
          </w:p>
        </w:tc>
        <w:tc>
          <w:tcPr>
            <w:tcW w:type="dxa" w:w="1080"/>
          </w:tcPr>
          <w:p>
            <w:r>
              <w:t>资金存入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  <w:tr>
        <w:tc>
          <w:tcPr>
            <w:tcW w:type="dxa" w:w="1080"/>
          </w:tcPr>
          <w:p>
            <w:r>
              <w:t>交易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>
              <w:t>委托下单</w:t>
            </w:r>
          </w:p>
        </w:tc>
        <w:tc>
          <w:tcPr>
            <w:tcW w:type="dxa" w:w="1080"/>
          </w:tcPr>
          <w:p>
            <w:r>
              <w:t>撮合成交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  <w:tr>
        <w:tc>
          <w:tcPr>
            <w:tcW w:type="dxa" w:w="1080"/>
          </w:tcPr>
          <w:p>
            <w:r>
              <w:t>清算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>
              <w:t>日终清算</w:t>
            </w:r>
          </w:p>
        </w:tc>
        <w:tc>
          <w:tcPr>
            <w:tcW w:type="dxa" w:w="1080"/>
          </w:tcPr>
          <w:p>
            <w:r>
              <w:t>对账处理</w:t>
            </w:r>
          </w:p>
        </w:tc>
        <w:tc>
          <w:tcPr>
            <w:tcW w:type="dxa" w:w="1080"/>
          </w:tcPr>
          <w:p>
            <w:r/>
          </w:p>
        </w:tc>
      </w:tr>
      <w:tr>
        <w:tc>
          <w:tcPr>
            <w:tcW w:type="dxa" w:w="1080"/>
          </w:tcPr>
          <w:p>
            <w:r>
              <w:t>交收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>
              <w:t>资金划转</w:t>
            </w:r>
          </w:p>
        </w:tc>
        <w:tc>
          <w:tcPr>
            <w:tcW w:type="dxa" w:w="1080"/>
          </w:tcPr>
          <w:p>
            <w:r>
              <w:t>证券过户</w:t>
            </w:r>
          </w:p>
        </w:tc>
      </w:tr>
      <w:tr>
        <w:tc>
          <w:tcPr>
            <w:tcW w:type="dxa" w:w="1080"/>
          </w:tcPr>
          <w:p>
            <w:r>
              <w:t>服务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>
              <w:t>投顾服务</w:t>
            </w:r>
          </w:p>
        </w:tc>
      </w:tr>
    </w:tbl>
    <w:p/>
    <w:p>
      <w:pPr>
        <w:pStyle w:val="Heading2"/>
      </w:pPr>
      <w:r>
        <w:t>支撑体系</w:t>
      </w:r>
    </w:p>
    <w:p>
      <w:pPr>
        <w:pStyle w:val="ListBullet"/>
      </w:pPr>
      <w:r>
        <w:t>监管合规：证监会、交易所、中登公司监管要求</w:t>
      </w:r>
    </w:p>
    <w:p>
      <w:pPr>
        <w:pStyle w:val="ListBullet"/>
      </w:pPr>
      <w:r>
        <w:t>风控体系：实时监控、合规检查、风险预警</w:t>
      </w:r>
    </w:p>
    <w:p>
      <w:pPr>
        <w:pStyle w:val="ListBullet"/>
      </w:pPr>
      <w:r>
        <w:t>技术支撑：交易系统、数据中心、灾备体系</w:t>
      </w:r>
    </w:p>
    <w:p>
      <w:r>
        <w:br w:type="page"/>
      </w:r>
    </w:p>
    <w:p>
      <w:pPr>
        <w:pStyle w:val="Heading1"/>
      </w:pPr>
      <w:r>
        <w:t>二、六大核心维度</w:t>
      </w:r>
    </w:p>
    <w:p>
      <w:pPr>
        <w:pStyle w:val="Heading2"/>
      </w:pPr>
      <w:r>
        <w:t>1. 价值链（Value Chain）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pPr>
              <w:jc w:val="center"/>
            </w:pPr>
            <w:r>
              <w:rPr>
                <w:b/>
              </w:rPr>
              <w:t>环节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b/>
              </w:rPr>
              <w:t>活动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b/>
              </w:rPr>
              <w:t>价值创造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b/>
              </w:rPr>
              <w:t>关键指标</w:t>
            </w:r>
          </w:p>
        </w:tc>
      </w:tr>
      <w:tr>
        <w:tc>
          <w:tcPr>
            <w:tcW w:type="dxa" w:w="2160"/>
          </w:tcPr>
          <w:p>
            <w:r>
              <w:t>获客</w:t>
            </w:r>
          </w:p>
        </w:tc>
        <w:tc>
          <w:tcPr>
            <w:tcW w:type="dxa" w:w="2160"/>
          </w:tcPr>
          <w:p>
            <w:r>
              <w:t>营销推广、渠道合作</w:t>
            </w:r>
          </w:p>
        </w:tc>
        <w:tc>
          <w:tcPr>
            <w:tcW w:type="dxa" w:w="2160"/>
          </w:tcPr>
          <w:p>
            <w:r>
              <w:t>客户获取</w:t>
            </w:r>
          </w:p>
        </w:tc>
        <w:tc>
          <w:tcPr>
            <w:tcW w:type="dxa" w:w="2160"/>
          </w:tcPr>
          <w:p>
            <w:r>
              <w:t>新增客户数、获客成本</w:t>
            </w:r>
          </w:p>
        </w:tc>
      </w:tr>
      <w:tr>
        <w:tc>
          <w:tcPr>
            <w:tcW w:type="dxa" w:w="2160"/>
          </w:tcPr>
          <w:p>
            <w:r>
              <w:t>开户</w:t>
            </w:r>
          </w:p>
        </w:tc>
        <w:tc>
          <w:tcPr>
            <w:tcW w:type="dxa" w:w="2160"/>
          </w:tcPr>
          <w:p>
            <w:r>
              <w:t>KYC 认证、账户开立</w:t>
            </w:r>
          </w:p>
        </w:tc>
        <w:tc>
          <w:tcPr>
            <w:tcW w:type="dxa" w:w="2160"/>
          </w:tcPr>
          <w:p>
            <w:r>
              <w:t>客户转化</w:t>
            </w:r>
          </w:p>
        </w:tc>
        <w:tc>
          <w:tcPr>
            <w:tcW w:type="dxa" w:w="2160"/>
          </w:tcPr>
          <w:p>
            <w:r>
              <w:t>开户成功率、激活率</w:t>
            </w:r>
          </w:p>
        </w:tc>
      </w:tr>
      <w:tr>
        <w:tc>
          <w:tcPr>
            <w:tcW w:type="dxa" w:w="2160"/>
          </w:tcPr>
          <w:p>
            <w:r>
              <w:t>入金</w:t>
            </w:r>
          </w:p>
        </w:tc>
        <w:tc>
          <w:tcPr>
            <w:tcW w:type="dxa" w:w="2160"/>
          </w:tcPr>
          <w:p>
            <w:r>
              <w:t>银证转账、资金存入</w:t>
            </w:r>
          </w:p>
        </w:tc>
        <w:tc>
          <w:tcPr>
            <w:tcW w:type="dxa" w:w="2160"/>
          </w:tcPr>
          <w:p>
            <w:r>
              <w:t>资产沉淀</w:t>
            </w:r>
          </w:p>
        </w:tc>
        <w:tc>
          <w:tcPr>
            <w:tcW w:type="dxa" w:w="2160"/>
          </w:tcPr>
          <w:p>
            <w:r>
              <w:t>入金率、户均资产</w:t>
            </w:r>
          </w:p>
        </w:tc>
      </w:tr>
      <w:tr>
        <w:tc>
          <w:tcPr>
            <w:tcW w:type="dxa" w:w="2160"/>
          </w:tcPr>
          <w:p>
            <w:r>
              <w:t>交易</w:t>
            </w:r>
          </w:p>
        </w:tc>
        <w:tc>
          <w:tcPr>
            <w:tcW w:type="dxa" w:w="2160"/>
          </w:tcPr>
          <w:p>
            <w:r>
              <w:t>委托下单、撮合成交</w:t>
            </w:r>
          </w:p>
        </w:tc>
        <w:tc>
          <w:tcPr>
            <w:tcW w:type="dxa" w:w="2160"/>
          </w:tcPr>
          <w:p>
            <w:r>
              <w:t>交易服务</w:t>
            </w:r>
          </w:p>
        </w:tc>
        <w:tc>
          <w:tcPr>
            <w:tcW w:type="dxa" w:w="2160"/>
          </w:tcPr>
          <w:p>
            <w:r>
              <w:t>交易量、活跃度</w:t>
            </w:r>
          </w:p>
        </w:tc>
      </w:tr>
      <w:tr>
        <w:tc>
          <w:tcPr>
            <w:tcW w:type="dxa" w:w="2160"/>
          </w:tcPr>
          <w:p>
            <w:r>
              <w:t>清算</w:t>
            </w:r>
          </w:p>
        </w:tc>
        <w:tc>
          <w:tcPr>
            <w:tcW w:type="dxa" w:w="2160"/>
          </w:tcPr>
          <w:p>
            <w:r>
              <w:t>日终清算、对账处理</w:t>
            </w:r>
          </w:p>
        </w:tc>
        <w:tc>
          <w:tcPr>
            <w:tcW w:type="dxa" w:w="2160"/>
          </w:tcPr>
          <w:p>
            <w:r>
              <w:t>交易确认</w:t>
            </w:r>
          </w:p>
        </w:tc>
        <w:tc>
          <w:tcPr>
            <w:tcW w:type="dxa" w:w="2160"/>
          </w:tcPr>
          <w:p>
            <w:r>
              <w:t>清算准确率、时效</w:t>
            </w:r>
          </w:p>
        </w:tc>
      </w:tr>
      <w:tr>
        <w:tc>
          <w:tcPr>
            <w:tcW w:type="dxa" w:w="2160"/>
          </w:tcPr>
          <w:p>
            <w:r>
              <w:t>交收</w:t>
            </w:r>
          </w:p>
        </w:tc>
        <w:tc>
          <w:tcPr>
            <w:tcW w:type="dxa" w:w="2160"/>
          </w:tcPr>
          <w:p>
            <w:r>
              <w:t>资金划转、证券过户</w:t>
            </w:r>
          </w:p>
        </w:tc>
        <w:tc>
          <w:tcPr>
            <w:tcW w:type="dxa" w:w="2160"/>
          </w:tcPr>
          <w:p>
            <w:r>
              <w:t>交易完成</w:t>
            </w:r>
          </w:p>
        </w:tc>
        <w:tc>
          <w:tcPr>
            <w:tcW w:type="dxa" w:w="2160"/>
          </w:tcPr>
          <w:p>
            <w:r>
              <w:t>交收成功率</w:t>
            </w:r>
          </w:p>
        </w:tc>
      </w:tr>
      <w:tr>
        <w:tc>
          <w:tcPr>
            <w:tcW w:type="dxa" w:w="2160"/>
          </w:tcPr>
          <w:p>
            <w:r>
              <w:t>服务</w:t>
            </w:r>
          </w:p>
        </w:tc>
        <w:tc>
          <w:tcPr>
            <w:tcW w:type="dxa" w:w="2160"/>
          </w:tcPr>
          <w:p>
            <w:r>
              <w:t>投顾服务、客户维护</w:t>
            </w:r>
          </w:p>
        </w:tc>
        <w:tc>
          <w:tcPr>
            <w:tcW w:type="dxa" w:w="2160"/>
          </w:tcPr>
          <w:p>
            <w:r>
              <w:t>客户留存</w:t>
            </w:r>
          </w:p>
        </w:tc>
        <w:tc>
          <w:tcPr>
            <w:tcW w:type="dxa" w:w="2160"/>
          </w:tcPr>
          <w:p>
            <w:r>
              <w:t>留存率、满意度</w:t>
            </w:r>
          </w:p>
        </w:tc>
      </w:tr>
    </w:tbl>
    <w:p/>
    <w:p>
      <w:pPr>
        <w:pStyle w:val="Heading2"/>
      </w:pPr>
      <w:r>
        <w:t>2. 客户旅程（Customer Journey）</w:t>
      </w:r>
    </w:p>
    <w:p>
      <w:r>
        <w:t>客户全生命周期流程：</w:t>
      </w:r>
    </w:p>
    <w:p>
      <w:r>
        <w:rPr>
          <w:b/>
        </w:rPr>
        <w:t>认知 → 了解 → 开户 → 入金 → 交易 → 复购 → 推荐</w:t>
      </w:r>
    </w:p>
    <w:p>
      <w:pPr>
        <w:pStyle w:val="ListBullet"/>
      </w:pPr>
      <w:r>
        <w:t>关键触点：</w:t>
      </w:r>
    </w:p>
    <w:p>
      <w:pPr>
        <w:pStyle w:val="ListBullet"/>
      </w:pPr>
      <w:r>
        <w:t>开户阶段：身份验证、风险测评（APP/官网/营业部）</w:t>
      </w:r>
    </w:p>
    <w:p>
      <w:pPr>
        <w:pStyle w:val="ListBullet"/>
      </w:pPr>
      <w:r>
        <w:t>交易阶段：下单、查询、撤单（APP/PC 终端/电话）</w:t>
      </w:r>
    </w:p>
    <w:p>
      <w:pPr>
        <w:pStyle w:val="ListBullet"/>
      </w:pPr>
      <w:r>
        <w:t>服务阶段：对账单、资讯、投顾（APP/短信/微信）</w:t>
      </w:r>
    </w:p>
    <w:p>
      <w:r>
        <w:br w:type="page"/>
      </w:r>
    </w:p>
    <w:p>
      <w:pPr>
        <w:pStyle w:val="Heading2"/>
      </w:pPr>
      <w:r>
        <w:t>3. 产品与服务体系</w:t>
      </w:r>
    </w:p>
    <w:p>
      <w:r>
        <w:t>产品与服务矩阵：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pPr>
              <w:jc w:val="center"/>
            </w:pPr>
            <w:r>
              <w:rPr>
                <w:b/>
              </w:rPr>
              <w:t>基础服务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b/>
              </w:rPr>
              <w:t>增值服务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b/>
              </w:rPr>
              <w:t>专业服务</w:t>
            </w:r>
          </w:p>
        </w:tc>
      </w:tr>
      <w:tr>
        <w:tc>
          <w:tcPr>
            <w:tcW w:type="dxa" w:w="2880"/>
          </w:tcPr>
          <w:p>
            <w:r>
              <w:t>股票交易</w:t>
            </w:r>
          </w:p>
        </w:tc>
        <w:tc>
          <w:tcPr>
            <w:tcW w:type="dxa" w:w="2880"/>
          </w:tcPr>
          <w:p>
            <w:r>
              <w:t>投资资讯</w:t>
            </w:r>
          </w:p>
        </w:tc>
        <w:tc>
          <w:tcPr>
            <w:tcW w:type="dxa" w:w="2880"/>
          </w:tcPr>
          <w:p>
            <w:r>
              <w:t>投资顾问</w:t>
            </w:r>
          </w:p>
        </w:tc>
      </w:tr>
      <w:tr>
        <w:tc>
          <w:tcPr>
            <w:tcW w:type="dxa" w:w="2880"/>
          </w:tcPr>
          <w:p>
            <w:r>
              <w:t>基金交易</w:t>
            </w:r>
          </w:p>
        </w:tc>
        <w:tc>
          <w:tcPr>
            <w:tcW w:type="dxa" w:w="2880"/>
          </w:tcPr>
          <w:p>
            <w:r>
              <w:t>研究报告</w:t>
            </w:r>
          </w:p>
        </w:tc>
        <w:tc>
          <w:tcPr>
            <w:tcW w:type="dxa" w:w="2880"/>
          </w:tcPr>
          <w:p>
            <w:r>
              <w:t>资产配置</w:t>
            </w:r>
          </w:p>
        </w:tc>
      </w:tr>
      <w:tr>
        <w:tc>
          <w:tcPr>
            <w:tcW w:type="dxa" w:w="2880"/>
          </w:tcPr>
          <w:p>
            <w:r>
              <w:t>债券交易</w:t>
            </w:r>
          </w:p>
        </w:tc>
        <w:tc>
          <w:tcPr>
            <w:tcW w:type="dxa" w:w="2880"/>
          </w:tcPr>
          <w:p>
            <w:r>
              <w:t>行情数据</w:t>
            </w:r>
          </w:p>
        </w:tc>
        <w:tc>
          <w:tcPr>
            <w:tcW w:type="dxa" w:w="2880"/>
          </w:tcPr>
          <w:p>
            <w:r>
              <w:t>财富管理</w:t>
            </w:r>
          </w:p>
        </w:tc>
      </w:tr>
      <w:tr>
        <w:tc>
          <w:tcPr>
            <w:tcW w:type="dxa" w:w="2880"/>
          </w:tcPr>
          <w:p>
            <w:r>
              <w:t>融资融券</w:t>
            </w:r>
          </w:p>
        </w:tc>
        <w:tc>
          <w:tcPr>
            <w:tcW w:type="dxa" w:w="2880"/>
          </w:tcPr>
          <w:p>
            <w:r>
              <w:t>投资工具</w:t>
            </w:r>
          </w:p>
        </w:tc>
        <w:tc>
          <w:tcPr>
            <w:tcW w:type="dxa" w:w="2880"/>
          </w:tcPr>
          <w:p>
            <w:r>
              <w:t>机构服务</w:t>
            </w:r>
          </w:p>
        </w:tc>
      </w:tr>
      <w:tr>
        <w:tc>
          <w:tcPr>
            <w:tcW w:type="dxa" w:w="2880"/>
          </w:tcPr>
          <w:p>
            <w:r>
              <w:t>期权期货</w:t>
            </w:r>
          </w:p>
        </w:tc>
        <w:tc>
          <w:tcPr>
            <w:tcW w:type="dxa" w:w="2880"/>
          </w:tcPr>
          <w:p>
            <w:r>
              <w:t>投资者教育</w:t>
            </w:r>
          </w:p>
        </w:tc>
        <w:tc>
          <w:tcPr>
            <w:tcW w:type="dxa" w:w="2880"/>
          </w:tcPr>
          <w:p>
            <w:r>
              <w:t>私募托管</w:t>
            </w:r>
          </w:p>
        </w:tc>
      </w:tr>
    </w:tbl>
    <w:p/>
    <w:p>
      <w:pPr>
        <w:pStyle w:val="Heading3"/>
      </w:pPr>
      <w:r>
        <w:t>收入结构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收入类型</w:t>
            </w:r>
          </w:p>
        </w:tc>
        <w:tc>
          <w:tcPr>
            <w:tcW w:type="dxa" w:w="2880"/>
          </w:tcPr>
          <w:p>
            <w:r>
              <w:rPr>
                <w:b/>
              </w:rPr>
              <w:t>占比</w:t>
            </w:r>
          </w:p>
        </w:tc>
        <w:tc>
          <w:tcPr>
            <w:tcW w:type="dxa" w:w="2880"/>
          </w:tcPr>
          <w:p>
            <w:r>
              <w:rPr>
                <w:b/>
              </w:rPr>
              <w:t>说明</w:t>
            </w:r>
          </w:p>
        </w:tc>
      </w:tr>
      <w:tr>
        <w:tc>
          <w:tcPr>
            <w:tcW w:type="dxa" w:w="2880"/>
          </w:tcPr>
          <w:p>
            <w:r>
              <w:t>佣金收入</w:t>
            </w:r>
          </w:p>
        </w:tc>
        <w:tc>
          <w:tcPr>
            <w:tcW w:type="dxa" w:w="2880"/>
          </w:tcPr>
          <w:p>
            <w:r>
              <w:t>40-60%</w:t>
            </w:r>
          </w:p>
        </w:tc>
        <w:tc>
          <w:tcPr>
            <w:tcW w:type="dxa" w:w="2880"/>
          </w:tcPr>
          <w:p>
            <w:r>
              <w:t>交易手续费</w:t>
            </w:r>
          </w:p>
        </w:tc>
      </w:tr>
      <w:tr>
        <w:tc>
          <w:tcPr>
            <w:tcW w:type="dxa" w:w="2880"/>
          </w:tcPr>
          <w:p>
            <w:r>
              <w:t>利息收入</w:t>
            </w:r>
          </w:p>
        </w:tc>
        <w:tc>
          <w:tcPr>
            <w:tcW w:type="dxa" w:w="2880"/>
          </w:tcPr>
          <w:p>
            <w:r>
              <w:t>20-30%</w:t>
            </w:r>
          </w:p>
        </w:tc>
        <w:tc>
          <w:tcPr>
            <w:tcW w:type="dxa" w:w="2880"/>
          </w:tcPr>
          <w:p>
            <w:r>
              <w:t>融资融券、保证金</w:t>
            </w:r>
          </w:p>
        </w:tc>
      </w:tr>
      <w:tr>
        <w:tc>
          <w:tcPr>
            <w:tcW w:type="dxa" w:w="2880"/>
          </w:tcPr>
          <w:p>
            <w:r>
              <w:t>服务费</w:t>
            </w:r>
          </w:p>
        </w:tc>
        <w:tc>
          <w:tcPr>
            <w:tcW w:type="dxa" w:w="2880"/>
          </w:tcPr>
          <w:p>
            <w:r>
              <w:t>10-20%</w:t>
            </w:r>
          </w:p>
        </w:tc>
        <w:tc>
          <w:tcPr>
            <w:tcW w:type="dxa" w:w="2880"/>
          </w:tcPr>
          <w:p>
            <w:r>
              <w:t>投顾、财富管理</w:t>
            </w:r>
          </w:p>
        </w:tc>
      </w:tr>
      <w:tr>
        <w:tc>
          <w:tcPr>
            <w:tcW w:type="dxa" w:w="2880"/>
          </w:tcPr>
          <w:p>
            <w:r>
              <w:t>其他</w:t>
            </w:r>
          </w:p>
        </w:tc>
        <w:tc>
          <w:tcPr>
            <w:tcW w:type="dxa" w:w="2880"/>
          </w:tcPr>
          <w:p>
            <w:r>
              <w:t>5-10%</w:t>
            </w:r>
          </w:p>
        </w:tc>
        <w:tc>
          <w:tcPr>
            <w:tcW w:type="dxa" w:w="2880"/>
          </w:tcPr>
          <w:p>
            <w:r>
              <w:t>代销产品、跨境业务</w:t>
            </w:r>
          </w:p>
        </w:tc>
      </w:tr>
    </w:tbl>
    <w:p>
      <w:r>
        <w:br w:type="page"/>
      </w:r>
    </w:p>
    <w:p>
      <w:pPr>
        <w:pStyle w:val="Heading2"/>
      </w:pPr>
      <w:r>
        <w:t>4. 业务流程全景</w:t>
      </w:r>
    </w:p>
    <w:p>
      <w:r>
        <w:t>核心业务流程：</w:t>
      </w:r>
    </w:p>
    <w:p>
      <w:r>
        <w:rPr>
          <w:b/>
        </w:rPr>
        <w:t>客户下单 → 风控检查 → 报盘交易 → 成交回报 → 账户更新 → 资金划转 → 日终清算 → 对账处理 → 交收处理 → 账单生成</w:t>
      </w:r>
    </w:p>
    <w:p/>
    <w:p>
      <w:pPr>
        <w:pStyle w:val="Heading3"/>
      </w:pPr>
      <w:r>
        <w:t>关键流程说明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  <w:t>流程</w:t>
            </w:r>
          </w:p>
        </w:tc>
        <w:tc>
          <w:tcPr>
            <w:tcW w:type="dxa" w:w="2160"/>
          </w:tcPr>
          <w:p>
            <w:r>
              <w:rPr>
                <w:b/>
              </w:rPr>
              <w:t>频率</w:t>
            </w:r>
          </w:p>
        </w:tc>
        <w:tc>
          <w:tcPr>
            <w:tcW w:type="dxa" w:w="2160"/>
          </w:tcPr>
          <w:p>
            <w:r>
              <w:rPr>
                <w:b/>
              </w:rPr>
              <w:t>参与方</w:t>
            </w:r>
          </w:p>
        </w:tc>
        <w:tc>
          <w:tcPr>
            <w:tcW w:type="dxa" w:w="2160"/>
          </w:tcPr>
          <w:p>
            <w:r>
              <w:rPr>
                <w:b/>
              </w:rPr>
              <w:t>时效要求</w:t>
            </w:r>
          </w:p>
        </w:tc>
      </w:tr>
      <w:tr>
        <w:tc>
          <w:tcPr>
            <w:tcW w:type="dxa" w:w="2160"/>
          </w:tcPr>
          <w:p>
            <w:r>
              <w:t>交易委托</w:t>
            </w:r>
          </w:p>
        </w:tc>
        <w:tc>
          <w:tcPr>
            <w:tcW w:type="dxa" w:w="2160"/>
          </w:tcPr>
          <w:p>
            <w:r>
              <w:t>实时</w:t>
            </w:r>
          </w:p>
        </w:tc>
        <w:tc>
          <w:tcPr>
            <w:tcW w:type="dxa" w:w="2160"/>
          </w:tcPr>
          <w:p>
            <w:r>
              <w:t>客户→券商→交易所</w:t>
            </w:r>
          </w:p>
        </w:tc>
        <w:tc>
          <w:tcPr>
            <w:tcW w:type="dxa" w:w="2160"/>
          </w:tcPr>
          <w:p>
            <w:r>
              <w:t>&lt;100ms</w:t>
            </w:r>
          </w:p>
        </w:tc>
      </w:tr>
      <w:tr>
        <w:tc>
          <w:tcPr>
            <w:tcW w:type="dxa" w:w="2160"/>
          </w:tcPr>
          <w:p>
            <w:r>
              <w:t>风控检查</w:t>
            </w:r>
          </w:p>
        </w:tc>
        <w:tc>
          <w:tcPr>
            <w:tcW w:type="dxa" w:w="2160"/>
          </w:tcPr>
          <w:p>
            <w:r>
              <w:t>实时</w:t>
            </w:r>
          </w:p>
        </w:tc>
        <w:tc>
          <w:tcPr>
            <w:tcW w:type="dxa" w:w="2160"/>
          </w:tcPr>
          <w:p>
            <w:r>
              <w:t>券商风控系统</w:t>
            </w:r>
          </w:p>
        </w:tc>
        <w:tc>
          <w:tcPr>
            <w:tcW w:type="dxa" w:w="2160"/>
          </w:tcPr>
          <w:p>
            <w:r>
              <w:t>&lt;50ms</w:t>
            </w:r>
          </w:p>
        </w:tc>
      </w:tr>
      <w:tr>
        <w:tc>
          <w:tcPr>
            <w:tcW w:type="dxa" w:w="2160"/>
          </w:tcPr>
          <w:p>
            <w:r>
              <w:t>成交回报</w:t>
            </w:r>
          </w:p>
        </w:tc>
        <w:tc>
          <w:tcPr>
            <w:tcW w:type="dxa" w:w="2160"/>
          </w:tcPr>
          <w:p>
            <w:r>
              <w:t>实时</w:t>
            </w:r>
          </w:p>
        </w:tc>
        <w:tc>
          <w:tcPr>
            <w:tcW w:type="dxa" w:w="2160"/>
          </w:tcPr>
          <w:p>
            <w:r>
              <w:t>交易所→券商→客户</w:t>
            </w:r>
          </w:p>
        </w:tc>
        <w:tc>
          <w:tcPr>
            <w:tcW w:type="dxa" w:w="2160"/>
          </w:tcPr>
          <w:p>
            <w:r>
              <w:t>&lt;200ms</w:t>
            </w:r>
          </w:p>
        </w:tc>
      </w:tr>
      <w:tr>
        <w:tc>
          <w:tcPr>
            <w:tcW w:type="dxa" w:w="2160"/>
          </w:tcPr>
          <w:p>
            <w:r>
              <w:t>日终清算</w:t>
            </w:r>
          </w:p>
        </w:tc>
        <w:tc>
          <w:tcPr>
            <w:tcW w:type="dxa" w:w="2160"/>
          </w:tcPr>
          <w:p>
            <w:r>
              <w:t>每日</w:t>
            </w:r>
          </w:p>
        </w:tc>
        <w:tc>
          <w:tcPr>
            <w:tcW w:type="dxa" w:w="2160"/>
          </w:tcPr>
          <w:p>
            <w:r>
              <w:t>券商→中登公司</w:t>
            </w:r>
          </w:p>
        </w:tc>
        <w:tc>
          <w:tcPr>
            <w:tcW w:type="dxa" w:w="2160"/>
          </w:tcPr>
          <w:p>
            <w:r>
              <w:t>T 日 22:00 前</w:t>
            </w:r>
          </w:p>
        </w:tc>
      </w:tr>
      <w:tr>
        <w:tc>
          <w:tcPr>
            <w:tcW w:type="dxa" w:w="2160"/>
          </w:tcPr>
          <w:p>
            <w:r>
              <w:t>资金交收</w:t>
            </w:r>
          </w:p>
        </w:tc>
        <w:tc>
          <w:tcPr>
            <w:tcW w:type="dxa" w:w="2160"/>
          </w:tcPr>
          <w:p>
            <w:r>
              <w:t>每日</w:t>
            </w:r>
          </w:p>
        </w:tc>
        <w:tc>
          <w:tcPr>
            <w:tcW w:type="dxa" w:w="2160"/>
          </w:tcPr>
          <w:p>
            <w:r>
              <w:t>券商→银行→中登</w:t>
            </w:r>
          </w:p>
        </w:tc>
        <w:tc>
          <w:tcPr>
            <w:tcW w:type="dxa" w:w="2160"/>
          </w:tcPr>
          <w:p>
            <w:r>
              <w:t>T+1 日</w:t>
            </w:r>
          </w:p>
        </w:tc>
      </w:tr>
      <w:tr>
        <w:tc>
          <w:tcPr>
            <w:tcW w:type="dxa" w:w="2160"/>
          </w:tcPr>
          <w:p>
            <w:r>
              <w:t>证券交收</w:t>
            </w:r>
          </w:p>
        </w:tc>
        <w:tc>
          <w:tcPr>
            <w:tcW w:type="dxa" w:w="2160"/>
          </w:tcPr>
          <w:p>
            <w:r>
              <w:t>每日</w:t>
            </w:r>
          </w:p>
        </w:tc>
        <w:tc>
          <w:tcPr>
            <w:tcW w:type="dxa" w:w="2160"/>
          </w:tcPr>
          <w:p>
            <w:r>
              <w:t>中登公司</w:t>
            </w:r>
          </w:p>
        </w:tc>
        <w:tc>
          <w:tcPr>
            <w:tcW w:type="dxa" w:w="2160"/>
          </w:tcPr>
          <w:p>
            <w:r>
              <w:t>T+1 日</w:t>
            </w:r>
          </w:p>
        </w:tc>
      </w:tr>
    </w:tbl>
    <w:p>
      <w:r>
        <w:br w:type="page"/>
      </w:r>
    </w:p>
    <w:p>
      <w:pPr>
        <w:pStyle w:val="Heading2"/>
      </w:pPr>
      <w:r>
        <w:t>5. 组织架构</w:t>
      </w:r>
    </w:p>
    <w:p>
      <w:r>
        <w:t>典型组织架构：</w:t>
      </w:r>
    </w:p>
    <w:p>
      <w:r>
        <w:t>总经理</w:t>
      </w:r>
    </w:p>
    <w:p>
      <w:r>
        <w:t xml:space="preserve">  ├─ 经纪业务总部</w:t>
      </w:r>
    </w:p>
    <w:p>
      <w:r>
        <w:t xml:space="preserve">  │    ├─ 营业部（客户开发、服务）</w:t>
      </w:r>
    </w:p>
    <w:p>
      <w:r>
        <w:t xml:space="preserve">  │    ├─ 运营部（账户管理、清算）</w:t>
      </w:r>
    </w:p>
    <w:p>
      <w:r>
        <w:t xml:space="preserve">  │    └─ 客服部（客户支持、投诉）</w:t>
      </w:r>
    </w:p>
    <w:p>
      <w:r>
        <w:t xml:space="preserve">  ├─ 风险管理部</w:t>
      </w:r>
    </w:p>
    <w:p>
      <w:r>
        <w:t xml:space="preserve">  │    ├─ 合规部（合规审查、监控）</w:t>
      </w:r>
    </w:p>
    <w:p>
      <w:r>
        <w:t xml:space="preserve">  │    └─ 风控部（风险监控、预警）</w:t>
      </w:r>
    </w:p>
    <w:p>
      <w:r>
        <w:t xml:space="preserve">  └─ 信息技术部</w:t>
      </w:r>
    </w:p>
    <w:p>
      <w:r>
        <w:t xml:space="preserve">       └─ 系统开发、运维、DBA</w:t>
      </w:r>
    </w:p>
    <w:p/>
    <w:p>
      <w:pPr>
        <w:pStyle w:val="Heading3"/>
      </w:pPr>
      <w:r>
        <w:t>核心部门职能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部门</w:t>
            </w:r>
          </w:p>
        </w:tc>
        <w:tc>
          <w:tcPr>
            <w:tcW w:type="dxa" w:w="2880"/>
          </w:tcPr>
          <w:p>
            <w:r>
              <w:rPr>
                <w:b/>
              </w:rPr>
              <w:t>职责</w:t>
            </w:r>
          </w:p>
        </w:tc>
        <w:tc>
          <w:tcPr>
            <w:tcW w:type="dxa" w:w="2880"/>
          </w:tcPr>
          <w:p>
            <w:r>
              <w:rPr>
                <w:b/>
              </w:rPr>
              <w:t>关键岗位</w:t>
            </w:r>
          </w:p>
        </w:tc>
      </w:tr>
      <w:tr>
        <w:tc>
          <w:tcPr>
            <w:tcW w:type="dxa" w:w="2880"/>
          </w:tcPr>
          <w:p>
            <w:r>
              <w:t>营业部</w:t>
            </w:r>
          </w:p>
        </w:tc>
        <w:tc>
          <w:tcPr>
            <w:tcW w:type="dxa" w:w="2880"/>
          </w:tcPr>
          <w:p>
            <w:r>
              <w:t>客户开发、服务</w:t>
            </w:r>
          </w:p>
        </w:tc>
        <w:tc>
          <w:tcPr>
            <w:tcW w:type="dxa" w:w="2880"/>
          </w:tcPr>
          <w:p>
            <w:r>
              <w:t>客户经理、投资顾问</w:t>
            </w:r>
          </w:p>
        </w:tc>
      </w:tr>
      <w:tr>
        <w:tc>
          <w:tcPr>
            <w:tcW w:type="dxa" w:w="2880"/>
          </w:tcPr>
          <w:p>
            <w:r>
              <w:t>运营部</w:t>
            </w:r>
          </w:p>
        </w:tc>
        <w:tc>
          <w:tcPr>
            <w:tcW w:type="dxa" w:w="2880"/>
          </w:tcPr>
          <w:p>
            <w:r>
              <w:t>账户管理、清算</w:t>
            </w:r>
          </w:p>
        </w:tc>
        <w:tc>
          <w:tcPr>
            <w:tcW w:type="dxa" w:w="2880"/>
          </w:tcPr>
          <w:p>
            <w:r>
              <w:t>运营专员、清算员</w:t>
            </w:r>
          </w:p>
        </w:tc>
      </w:tr>
      <w:tr>
        <w:tc>
          <w:tcPr>
            <w:tcW w:type="dxa" w:w="2880"/>
          </w:tcPr>
          <w:p>
            <w:r>
              <w:t>客服部</w:t>
            </w:r>
          </w:p>
        </w:tc>
        <w:tc>
          <w:tcPr>
            <w:tcW w:type="dxa" w:w="2880"/>
          </w:tcPr>
          <w:p>
            <w:r>
              <w:t>客户支持、投诉</w:t>
            </w:r>
          </w:p>
        </w:tc>
        <w:tc>
          <w:tcPr>
            <w:tcW w:type="dxa" w:w="2880"/>
          </w:tcPr>
          <w:p>
            <w:r>
              <w:t>客服代表</w:t>
            </w:r>
          </w:p>
        </w:tc>
      </w:tr>
      <w:tr>
        <w:tc>
          <w:tcPr>
            <w:tcW w:type="dxa" w:w="2880"/>
          </w:tcPr>
          <w:p>
            <w:r>
              <w:t>合规部</w:t>
            </w:r>
          </w:p>
        </w:tc>
        <w:tc>
          <w:tcPr>
            <w:tcW w:type="dxa" w:w="2880"/>
          </w:tcPr>
          <w:p>
            <w:r>
              <w:t>合规审查、监控</w:t>
            </w:r>
          </w:p>
        </w:tc>
        <w:tc>
          <w:tcPr>
            <w:tcW w:type="dxa" w:w="2880"/>
          </w:tcPr>
          <w:p>
            <w:r>
              <w:t>合规专员</w:t>
            </w:r>
          </w:p>
        </w:tc>
      </w:tr>
      <w:tr>
        <w:tc>
          <w:tcPr>
            <w:tcW w:type="dxa" w:w="2880"/>
          </w:tcPr>
          <w:p>
            <w:r>
              <w:t>风控部</w:t>
            </w:r>
          </w:p>
        </w:tc>
        <w:tc>
          <w:tcPr>
            <w:tcW w:type="dxa" w:w="2880"/>
          </w:tcPr>
          <w:p>
            <w:r>
              <w:t>风险监控、预警</w:t>
            </w:r>
          </w:p>
        </w:tc>
        <w:tc>
          <w:tcPr>
            <w:tcW w:type="dxa" w:w="2880"/>
          </w:tcPr>
          <w:p>
            <w:r>
              <w:t>风控专员</w:t>
            </w:r>
          </w:p>
        </w:tc>
      </w:tr>
      <w:tr>
        <w:tc>
          <w:tcPr>
            <w:tcW w:type="dxa" w:w="2880"/>
          </w:tcPr>
          <w:p>
            <w:r>
              <w:t>信息技术部</w:t>
            </w:r>
          </w:p>
        </w:tc>
        <w:tc>
          <w:tcPr>
            <w:tcW w:type="dxa" w:w="2880"/>
          </w:tcPr>
          <w:p>
            <w:r>
              <w:t>系统开发、运维</w:t>
            </w:r>
          </w:p>
        </w:tc>
        <w:tc>
          <w:tcPr>
            <w:tcW w:type="dxa" w:w="2880"/>
          </w:tcPr>
          <w:p>
            <w:r>
              <w:t>开发、运维、DBA</w:t>
            </w:r>
          </w:p>
        </w:tc>
      </w:tr>
    </w:tbl>
    <w:p>
      <w:r>
        <w:br w:type="page"/>
      </w:r>
    </w:p>
    <w:p>
      <w:pPr>
        <w:pStyle w:val="Heading2"/>
      </w:pPr>
      <w:r>
        <w:t>6. 技术架构</w:t>
      </w:r>
    </w:p>
    <w:p>
      <w:r>
        <w:t>技术架构分层：</w:t>
      </w:r>
    </w:p>
    <w:p>
      <w:pPr>
        <w:pStyle w:val="ListBullet"/>
      </w:pPr>
      <w:r>
        <w:t>渠道层：APP、PC 终端、官网、微信、电话委托</w:t>
      </w:r>
    </w:p>
    <w:p>
      <w:pPr>
        <w:pStyle w:val="ListBullet"/>
      </w:pPr>
      <w:r>
        <w:t>网关层：API 网关、负载均衡、安全认证</w:t>
      </w:r>
    </w:p>
    <w:p>
      <w:pPr>
        <w:pStyle w:val="ListBullet"/>
      </w:pPr>
      <w:r>
        <w:t>业务中台：交易中心、账户中心、资金中心、风控中心</w:t>
      </w:r>
    </w:p>
    <w:p>
      <w:pPr>
        <w:pStyle w:val="ListBullet"/>
      </w:pPr>
      <w:r>
        <w:t>数据中台：客户数据、交易数据、行情数据、风控数据</w:t>
      </w:r>
    </w:p>
    <w:p>
      <w:pPr>
        <w:pStyle w:val="ListBullet"/>
      </w:pPr>
      <w:r>
        <w:t>基础设施：云平台、数据库、消息队列、缓存、监控</w:t>
      </w:r>
    </w:p>
    <w:p/>
    <w:p>
      <w:pPr>
        <w:pStyle w:val="Heading3"/>
      </w:pPr>
      <w:r>
        <w:t>关键技术指标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指标</w:t>
            </w:r>
          </w:p>
        </w:tc>
        <w:tc>
          <w:tcPr>
            <w:tcW w:type="dxa" w:w="2880"/>
          </w:tcPr>
          <w:p>
            <w:r>
              <w:rPr>
                <w:b/>
              </w:rPr>
              <w:t>要求</w:t>
            </w:r>
          </w:p>
        </w:tc>
        <w:tc>
          <w:tcPr>
            <w:tcW w:type="dxa" w:w="2880"/>
          </w:tcPr>
          <w:p>
            <w:r>
              <w:rPr>
                <w:b/>
              </w:rPr>
              <w:t>说明</w:t>
            </w:r>
          </w:p>
        </w:tc>
      </w:tr>
      <w:tr>
        <w:tc>
          <w:tcPr>
            <w:tcW w:type="dxa" w:w="2880"/>
          </w:tcPr>
          <w:p>
            <w:r>
              <w:t>交易延迟</w:t>
            </w:r>
          </w:p>
        </w:tc>
        <w:tc>
          <w:tcPr>
            <w:tcW w:type="dxa" w:w="2880"/>
          </w:tcPr>
          <w:p>
            <w:r>
              <w:t>&lt;100ms</w:t>
            </w:r>
          </w:p>
        </w:tc>
        <w:tc>
          <w:tcPr>
            <w:tcW w:type="dxa" w:w="2880"/>
          </w:tcPr>
          <w:p>
            <w:r>
              <w:t>下单到报盘</w:t>
            </w:r>
          </w:p>
        </w:tc>
      </w:tr>
      <w:tr>
        <w:tc>
          <w:tcPr>
            <w:tcW w:type="dxa" w:w="2880"/>
          </w:tcPr>
          <w:p>
            <w:r>
              <w:t>系统可用性</w:t>
            </w:r>
          </w:p>
        </w:tc>
        <w:tc>
          <w:tcPr>
            <w:tcW w:type="dxa" w:w="2880"/>
          </w:tcPr>
          <w:p>
            <w:r>
              <w:t>99.99%</w:t>
            </w:r>
          </w:p>
        </w:tc>
        <w:tc>
          <w:tcPr>
            <w:tcW w:type="dxa" w:w="2880"/>
          </w:tcPr>
          <w:p>
            <w:r>
              <w:t>交易时段</w:t>
            </w:r>
          </w:p>
        </w:tc>
      </w:tr>
      <w:tr>
        <w:tc>
          <w:tcPr>
            <w:tcW w:type="dxa" w:w="2880"/>
          </w:tcPr>
          <w:p>
            <w:r>
              <w:t>并发能力</w:t>
            </w:r>
          </w:p>
        </w:tc>
        <w:tc>
          <w:tcPr>
            <w:tcW w:type="dxa" w:w="2880"/>
          </w:tcPr>
          <w:p>
            <w:r>
              <w:t>10 万+/秒</w:t>
            </w:r>
          </w:p>
        </w:tc>
        <w:tc>
          <w:tcPr>
            <w:tcW w:type="dxa" w:w="2880"/>
          </w:tcPr>
          <w:p>
            <w:r>
              <w:t>订单处理能力</w:t>
            </w:r>
          </w:p>
        </w:tc>
      </w:tr>
      <w:tr>
        <w:tc>
          <w:tcPr>
            <w:tcW w:type="dxa" w:w="2880"/>
          </w:tcPr>
          <w:p>
            <w:r>
              <w:t>数据一致性</w:t>
            </w:r>
          </w:p>
        </w:tc>
        <w:tc>
          <w:tcPr>
            <w:tcW w:type="dxa" w:w="2880"/>
          </w:tcPr>
          <w:p>
            <w:r>
              <w:t>100%</w:t>
            </w:r>
          </w:p>
        </w:tc>
        <w:tc>
          <w:tcPr>
            <w:tcW w:type="dxa" w:w="2880"/>
          </w:tcPr>
          <w:p>
            <w:r>
              <w:t>资金、持仓数据</w:t>
            </w:r>
          </w:p>
        </w:tc>
      </w:tr>
      <w:tr>
        <w:tc>
          <w:tcPr>
            <w:tcW w:type="dxa" w:w="2880"/>
          </w:tcPr>
          <w:p>
            <w:r>
              <w:t>灾备能力</w:t>
            </w:r>
          </w:p>
        </w:tc>
        <w:tc>
          <w:tcPr>
            <w:tcW w:type="dxa" w:w="2880"/>
          </w:tcPr>
          <w:p>
            <w:r>
              <w:t>RTO&lt;30min</w:t>
            </w:r>
          </w:p>
        </w:tc>
        <w:tc>
          <w:tcPr>
            <w:tcW w:type="dxa" w:w="2880"/>
          </w:tcPr>
          <w:p>
            <w:r>
              <w:t>故障恢复时间</w:t>
            </w:r>
          </w:p>
        </w:tc>
      </w:tr>
    </w:tbl>
    <w:p>
      <w:r>
        <w:br w:type="page"/>
      </w:r>
    </w:p>
    <w:p>
      <w:pPr>
        <w:pStyle w:val="Heading1"/>
      </w:pPr>
      <w:r>
        <w:t>三、监管与合规框架</w:t>
      </w:r>
    </w:p>
    <w:p>
      <w:pPr>
        <w:pStyle w:val="Heading2"/>
      </w:pPr>
      <w:r>
        <w:t>监管机构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监管机构</w:t>
            </w:r>
          </w:p>
        </w:tc>
        <w:tc>
          <w:tcPr>
            <w:tcW w:type="dxa" w:w="2880"/>
          </w:tcPr>
          <w:p>
            <w:r>
              <w:rPr>
                <w:b/>
              </w:rPr>
              <w:t>职责</w:t>
            </w:r>
          </w:p>
        </w:tc>
        <w:tc>
          <w:tcPr>
            <w:tcW w:type="dxa" w:w="2880"/>
          </w:tcPr>
          <w:p>
            <w:r>
              <w:rPr>
                <w:b/>
              </w:rPr>
              <w:t>主要规定</w:t>
            </w:r>
          </w:p>
        </w:tc>
      </w:tr>
      <w:tr>
        <w:tc>
          <w:tcPr>
            <w:tcW w:type="dxa" w:w="2880"/>
          </w:tcPr>
          <w:p>
            <w:r>
              <w:t>证监会</w:t>
            </w:r>
          </w:p>
        </w:tc>
        <w:tc>
          <w:tcPr>
            <w:tcW w:type="dxa" w:w="2880"/>
          </w:tcPr>
          <w:p>
            <w:r>
              <w:t>行业监管</w:t>
            </w:r>
          </w:p>
        </w:tc>
        <w:tc>
          <w:tcPr>
            <w:tcW w:type="dxa" w:w="2880"/>
          </w:tcPr>
          <w:p>
            <w:r>
              <w:t>《证券法》《证券公司监督管理条例》</w:t>
            </w:r>
          </w:p>
        </w:tc>
      </w:tr>
      <w:tr>
        <w:tc>
          <w:tcPr>
            <w:tcW w:type="dxa" w:w="2880"/>
          </w:tcPr>
          <w:p>
            <w:r>
              <w:t>交易所</w:t>
            </w:r>
          </w:p>
        </w:tc>
        <w:tc>
          <w:tcPr>
            <w:tcW w:type="dxa" w:w="2880"/>
          </w:tcPr>
          <w:p>
            <w:r>
              <w:t>交易监管</w:t>
            </w:r>
          </w:p>
        </w:tc>
        <w:tc>
          <w:tcPr>
            <w:tcW w:type="dxa" w:w="2880"/>
          </w:tcPr>
          <w:p>
            <w:r>
              <w:t>交易规则、会员管理</w:t>
            </w:r>
          </w:p>
        </w:tc>
      </w:tr>
      <w:tr>
        <w:tc>
          <w:tcPr>
            <w:tcW w:type="dxa" w:w="2880"/>
          </w:tcPr>
          <w:p>
            <w:r>
              <w:t>中登公司</w:t>
            </w:r>
          </w:p>
        </w:tc>
        <w:tc>
          <w:tcPr>
            <w:tcW w:type="dxa" w:w="2880"/>
          </w:tcPr>
          <w:p>
            <w:r>
              <w:t>登记结算</w:t>
            </w:r>
          </w:p>
        </w:tc>
        <w:tc>
          <w:tcPr>
            <w:tcW w:type="dxa" w:w="2880"/>
          </w:tcPr>
          <w:p>
            <w:r>
              <w:t>账户管理、清算交收规则</w:t>
            </w:r>
          </w:p>
        </w:tc>
      </w:tr>
      <w:tr>
        <w:tc>
          <w:tcPr>
            <w:tcW w:type="dxa" w:w="2880"/>
          </w:tcPr>
          <w:p>
            <w:r>
              <w:t>证券业协会</w:t>
            </w:r>
          </w:p>
        </w:tc>
        <w:tc>
          <w:tcPr>
            <w:tcW w:type="dxa" w:w="2880"/>
          </w:tcPr>
          <w:p>
            <w:r>
              <w:t>自律管理</w:t>
            </w:r>
          </w:p>
        </w:tc>
        <w:tc>
          <w:tcPr>
            <w:tcW w:type="dxa" w:w="2880"/>
          </w:tcPr>
          <w:p>
            <w:r>
              <w:t>从业人员管理、行业规范</w:t>
            </w:r>
          </w:p>
        </w:tc>
      </w:tr>
      <w:tr>
        <w:tc>
          <w:tcPr>
            <w:tcW w:type="dxa" w:w="2880"/>
          </w:tcPr>
          <w:p>
            <w:r>
              <w:t>央行/外管局</w:t>
            </w:r>
          </w:p>
        </w:tc>
        <w:tc>
          <w:tcPr>
            <w:tcW w:type="dxa" w:w="2880"/>
          </w:tcPr>
          <w:p>
            <w:r>
              <w:t>资金监管</w:t>
            </w:r>
          </w:p>
        </w:tc>
        <w:tc>
          <w:tcPr>
            <w:tcW w:type="dxa" w:w="2880"/>
          </w:tcPr>
          <w:p>
            <w:r>
              <w:t>反洗钱、跨境资金</w:t>
            </w:r>
          </w:p>
        </w:tc>
      </w:tr>
    </w:tbl>
    <w:p/>
    <w:p>
      <w:pPr>
        <w:pStyle w:val="Heading2"/>
      </w:pPr>
      <w:r>
        <w:t>核心合规要求</w:t>
      </w:r>
    </w:p>
    <w:p>
      <w:pPr>
        <w:pStyle w:val="ListBullet"/>
      </w:pPr>
      <w:r>
        <w:t>客户适当性管理（风险匹配）</w:t>
      </w:r>
    </w:p>
    <w:p>
      <w:pPr>
        <w:pStyle w:val="ListBullet"/>
      </w:pPr>
      <w:r>
        <w:t>反洗钱（KYC、大额交易报告）</w:t>
      </w:r>
    </w:p>
    <w:p>
      <w:pPr>
        <w:pStyle w:val="ListBullet"/>
      </w:pPr>
      <w:r>
        <w:t>信息隔离墙（自营与经纪隔离）</w:t>
      </w:r>
    </w:p>
    <w:p>
      <w:pPr>
        <w:pStyle w:val="ListBullet"/>
      </w:pPr>
      <w:r>
        <w:t>投资者保护（风险揭示、投诉处理）</w:t>
      </w:r>
    </w:p>
    <w:p>
      <w:r>
        <w:br w:type="page"/>
      </w:r>
    </w:p>
    <w:p>
      <w:pPr>
        <w:pStyle w:val="Heading1"/>
      </w:pPr>
      <w:r>
        <w:t>四、盈利模式</w:t>
      </w:r>
    </w:p>
    <w:p>
      <w:pPr>
        <w:pStyle w:val="Heading2"/>
      </w:pPr>
      <w:r>
        <w:t>收入端</w:t>
      </w:r>
    </w:p>
    <w:p>
      <w:pPr>
        <w:pStyle w:val="ListBullet"/>
      </w:pPr>
      <w:r>
        <w:t>交易佣金</w:t>
      </w:r>
    </w:p>
    <w:p>
      <w:pPr>
        <w:pStyle w:val="ListBullet"/>
      </w:pPr>
      <w:r>
        <w:t>融资利息</w:t>
      </w:r>
    </w:p>
    <w:p>
      <w:pPr>
        <w:pStyle w:val="ListBullet"/>
      </w:pPr>
      <w:r>
        <w:t>融券利息</w:t>
      </w:r>
    </w:p>
    <w:p>
      <w:pPr>
        <w:pStyle w:val="ListBullet"/>
      </w:pPr>
      <w:r>
        <w:t>代销产品</w:t>
      </w:r>
    </w:p>
    <w:p>
      <w:pPr>
        <w:pStyle w:val="ListBullet"/>
      </w:pPr>
      <w:r>
        <w:t>投资顾问</w:t>
      </w:r>
    </w:p>
    <w:p>
      <w:pPr>
        <w:pStyle w:val="ListBullet"/>
      </w:pPr>
      <w:r>
        <w:t>跨境业务</w:t>
      </w:r>
    </w:p>
    <w:p>
      <w:pPr>
        <w:pStyle w:val="Heading2"/>
      </w:pPr>
      <w:r>
        <w:t>成本端</w:t>
      </w:r>
    </w:p>
    <w:p>
      <w:pPr>
        <w:pStyle w:val="ListBullet"/>
      </w:pPr>
      <w:r>
        <w:t>人力成本</w:t>
      </w:r>
    </w:p>
    <w:p>
      <w:pPr>
        <w:pStyle w:val="ListBullet"/>
      </w:pPr>
      <w:r>
        <w:t>技术投入</w:t>
      </w:r>
    </w:p>
    <w:p>
      <w:pPr>
        <w:pStyle w:val="ListBullet"/>
      </w:pPr>
      <w:r>
        <w:t>场地租金</w:t>
      </w:r>
    </w:p>
    <w:p>
      <w:pPr>
        <w:pStyle w:val="ListBullet"/>
      </w:pPr>
      <w:r>
        <w:t>监管费用</w:t>
      </w:r>
    </w:p>
    <w:p>
      <w:pPr>
        <w:pStyle w:val="ListBullet"/>
      </w:pPr>
      <w:r>
        <w:t>营销费用</w:t>
      </w:r>
    </w:p>
    <w:p>
      <w:pPr>
        <w:pStyle w:val="ListBullet"/>
      </w:pPr>
      <w:r>
        <w:t>风险准备金</w:t>
      </w:r>
    </w:p>
    <w:p/>
    <w:p>
      <w:pPr>
        <w:pStyle w:val="Heading2"/>
      </w:pPr>
      <w:r>
        <w:t>关键驱动因素</w:t>
      </w:r>
    </w:p>
    <w:p>
      <w:pPr>
        <w:pStyle w:val="ListBullet"/>
      </w:pPr>
      <w:r>
        <w:t>市场交易量（行情依赖）</w:t>
      </w:r>
    </w:p>
    <w:p>
      <w:pPr>
        <w:pStyle w:val="ListBullet"/>
      </w:pPr>
      <w:r>
        <w:t>客户资产规模（AUM）</w:t>
      </w:r>
    </w:p>
    <w:p>
      <w:pPr>
        <w:pStyle w:val="ListBullet"/>
      </w:pPr>
      <w:r>
        <w:t>客户活跃度（交易频率）</w:t>
      </w:r>
    </w:p>
    <w:p>
      <w:pPr>
        <w:pStyle w:val="ListBullet"/>
      </w:pPr>
      <w:r>
        <w:t>产品渗透率（增值服务）</w:t>
      </w:r>
    </w:p>
    <w:p>
      <w:r>
        <w:br w:type="page"/>
      </w:r>
    </w:p>
    <w:p>
      <w:pPr>
        <w:pStyle w:val="Heading1"/>
      </w:pPr>
      <w:r>
        <w:t>五、核心指标体系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  <w:t>类别</w:t>
            </w:r>
          </w:p>
        </w:tc>
        <w:tc>
          <w:tcPr>
            <w:tcW w:type="dxa" w:w="2160"/>
          </w:tcPr>
          <w:p>
            <w:r>
              <w:rPr>
                <w:b/>
              </w:rPr>
              <w:t>指标</w:t>
            </w:r>
          </w:p>
        </w:tc>
        <w:tc>
          <w:tcPr>
            <w:tcW w:type="dxa" w:w="2160"/>
          </w:tcPr>
          <w:p>
            <w:r>
              <w:rPr>
                <w:b/>
              </w:rPr>
              <w:t>定义</w:t>
            </w:r>
          </w:p>
        </w:tc>
        <w:tc>
          <w:tcPr>
            <w:tcW w:type="dxa" w:w="2160"/>
          </w:tcPr>
          <w:p>
            <w:r>
              <w:rPr>
                <w:b/>
              </w:rPr>
              <w:t>行业参考</w:t>
            </w:r>
          </w:p>
        </w:tc>
      </w:tr>
      <w:tr>
        <w:tc>
          <w:tcPr>
            <w:tcW w:type="dxa" w:w="2160"/>
          </w:tcPr>
          <w:p>
            <w:r>
              <w:t>规模指标</w:t>
            </w:r>
          </w:p>
        </w:tc>
        <w:tc>
          <w:tcPr>
            <w:tcW w:type="dxa" w:w="2160"/>
          </w:tcPr>
          <w:p>
            <w:r>
              <w:t>客户数</w:t>
            </w:r>
          </w:p>
        </w:tc>
        <w:tc>
          <w:tcPr>
            <w:tcW w:type="dxa" w:w="2160"/>
          </w:tcPr>
          <w:p>
            <w:r>
              <w:t>有效客户总数</w:t>
            </w:r>
          </w:p>
        </w:tc>
        <w:tc>
          <w:tcPr>
            <w:tcW w:type="dxa" w:w="2160"/>
          </w:tcPr>
          <w:p>
            <w:r>
              <w:t>百万级</w:t>
            </w:r>
          </w:p>
        </w:tc>
      </w:tr>
      <w:tr>
        <w:tc>
          <w:tcPr>
            <w:tcW w:type="dxa" w:w="2160"/>
          </w:tcPr>
          <w:p>
            <w:r>
              <w:t>规模指标</w:t>
            </w:r>
          </w:p>
        </w:tc>
        <w:tc>
          <w:tcPr>
            <w:tcW w:type="dxa" w:w="2160"/>
          </w:tcPr>
          <w:p>
            <w:r>
              <w:t>AUM</w:t>
            </w:r>
          </w:p>
        </w:tc>
        <w:tc>
          <w:tcPr>
            <w:tcW w:type="dxa" w:w="2160"/>
          </w:tcPr>
          <w:p>
            <w:r>
              <w:t>客户资产总额</w:t>
            </w:r>
          </w:p>
        </w:tc>
        <w:tc>
          <w:tcPr>
            <w:tcW w:type="dxa" w:w="2160"/>
          </w:tcPr>
          <w:p>
            <w:r>
              <w:t>千亿级</w:t>
            </w:r>
          </w:p>
        </w:tc>
      </w:tr>
      <w:tr>
        <w:tc>
          <w:tcPr>
            <w:tcW w:type="dxa" w:w="2160"/>
          </w:tcPr>
          <w:p>
            <w:r>
              <w:t>交易指标</w:t>
            </w:r>
          </w:p>
        </w:tc>
        <w:tc>
          <w:tcPr>
            <w:tcW w:type="dxa" w:w="2160"/>
          </w:tcPr>
          <w:p>
            <w:r>
              <w:t>日均交易量</w:t>
            </w:r>
          </w:p>
        </w:tc>
        <w:tc>
          <w:tcPr>
            <w:tcW w:type="dxa" w:w="2160"/>
          </w:tcPr>
          <w:p>
            <w:r>
              <w:t>日均成交金额</w:t>
            </w:r>
          </w:p>
        </w:tc>
        <w:tc>
          <w:tcPr>
            <w:tcW w:type="dxa" w:w="2160"/>
          </w:tcPr>
          <w:p>
            <w:r>
              <w:t>百亿级</w:t>
            </w:r>
          </w:p>
        </w:tc>
      </w:tr>
      <w:tr>
        <w:tc>
          <w:tcPr>
            <w:tcW w:type="dxa" w:w="2160"/>
          </w:tcPr>
          <w:p>
            <w:r>
              <w:t>交易指标</w:t>
            </w:r>
          </w:p>
        </w:tc>
        <w:tc>
          <w:tcPr>
            <w:tcW w:type="dxa" w:w="2160"/>
          </w:tcPr>
          <w:p>
            <w:r>
              <w:t>活跃度</w:t>
            </w:r>
          </w:p>
        </w:tc>
        <w:tc>
          <w:tcPr>
            <w:tcW w:type="dxa" w:w="2160"/>
          </w:tcPr>
          <w:p>
            <w:r>
              <w:t>月活客户占比</w:t>
            </w:r>
          </w:p>
        </w:tc>
        <w:tc>
          <w:tcPr>
            <w:tcW w:type="dxa" w:w="2160"/>
          </w:tcPr>
          <w:p>
            <w:r>
              <w:t>10-30%</w:t>
            </w:r>
          </w:p>
        </w:tc>
      </w:tr>
      <w:tr>
        <w:tc>
          <w:tcPr>
            <w:tcW w:type="dxa" w:w="2160"/>
          </w:tcPr>
          <w:p>
            <w:r>
              <w:t>收入指标</w:t>
            </w:r>
          </w:p>
        </w:tc>
        <w:tc>
          <w:tcPr>
            <w:tcW w:type="dxa" w:w="2160"/>
          </w:tcPr>
          <w:p>
            <w:r>
              <w:t>佣金率</w:t>
            </w:r>
          </w:p>
        </w:tc>
        <w:tc>
          <w:tcPr>
            <w:tcW w:type="dxa" w:w="2160"/>
          </w:tcPr>
          <w:p>
            <w:r>
              <w:t>佣金/交易量</w:t>
            </w:r>
          </w:p>
        </w:tc>
        <w:tc>
          <w:tcPr>
            <w:tcW w:type="dxa" w:w="2160"/>
          </w:tcPr>
          <w:p>
            <w:r>
              <w:t>万分之 2-3</w:t>
            </w:r>
          </w:p>
        </w:tc>
      </w:tr>
      <w:tr>
        <w:tc>
          <w:tcPr>
            <w:tcW w:type="dxa" w:w="2160"/>
          </w:tcPr>
          <w:p>
            <w:r>
              <w:t>收入指标</w:t>
            </w:r>
          </w:p>
        </w:tc>
        <w:tc>
          <w:tcPr>
            <w:tcW w:type="dxa" w:w="2160"/>
          </w:tcPr>
          <w:p>
            <w:r>
              <w:t>户均贡献</w:t>
            </w:r>
          </w:p>
        </w:tc>
        <w:tc>
          <w:tcPr>
            <w:tcW w:type="dxa" w:w="2160"/>
          </w:tcPr>
          <w:p>
            <w:r>
              <w:t>收入/客户数</w:t>
            </w:r>
          </w:p>
        </w:tc>
        <w:tc>
          <w:tcPr>
            <w:tcW w:type="dxa" w:w="2160"/>
          </w:tcPr>
          <w:p>
            <w:r>
              <w:t>千元/年</w:t>
            </w:r>
          </w:p>
        </w:tc>
      </w:tr>
      <w:tr>
        <w:tc>
          <w:tcPr>
            <w:tcW w:type="dxa" w:w="2160"/>
          </w:tcPr>
          <w:p>
            <w:r>
              <w:t>风险指标</w:t>
            </w:r>
          </w:p>
        </w:tc>
        <w:tc>
          <w:tcPr>
            <w:tcW w:type="dxa" w:w="2160"/>
          </w:tcPr>
          <w:p>
            <w:r>
              <w:t>坏账率</w:t>
            </w:r>
          </w:p>
        </w:tc>
        <w:tc>
          <w:tcPr>
            <w:tcW w:type="dxa" w:w="2160"/>
          </w:tcPr>
          <w:p>
            <w:r>
              <w:t>融资融券坏账</w:t>
            </w:r>
          </w:p>
        </w:tc>
        <w:tc>
          <w:tcPr>
            <w:tcW w:type="dxa" w:w="2160"/>
          </w:tcPr>
          <w:p>
            <w:r>
              <w:t>&lt;1%</w:t>
            </w:r>
          </w:p>
        </w:tc>
      </w:tr>
      <w:tr>
        <w:tc>
          <w:tcPr>
            <w:tcW w:type="dxa" w:w="2160"/>
          </w:tcPr>
          <w:p>
            <w:r>
              <w:t>风险指标</w:t>
            </w:r>
          </w:p>
        </w:tc>
        <w:tc>
          <w:tcPr>
            <w:tcW w:type="dxa" w:w="2160"/>
          </w:tcPr>
          <w:p>
            <w:r>
              <w:t>投诉率</w:t>
            </w:r>
          </w:p>
        </w:tc>
        <w:tc>
          <w:tcPr>
            <w:tcW w:type="dxa" w:w="2160"/>
          </w:tcPr>
          <w:p>
            <w:r>
              <w:t>投诉/客户数</w:t>
            </w:r>
          </w:p>
        </w:tc>
        <w:tc>
          <w:tcPr>
            <w:tcW w:type="dxa" w:w="2160"/>
          </w:tcPr>
          <w:p>
            <w:r>
              <w:t>&lt;0.1%</w:t>
            </w:r>
          </w:p>
        </w:tc>
      </w:tr>
      <w:tr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</w:tbl>
    <w:p>
      <w:r>
        <w:br w:type="page"/>
      </w:r>
    </w:p>
    <w:p>
      <w:pPr>
        <w:pStyle w:val="Heading1"/>
      </w:pPr>
      <w:r>
        <w:t>六、业务全貌总结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</w:rPr>
              <w:t>维度</w:t>
            </w:r>
          </w:p>
        </w:tc>
        <w:tc>
          <w:tcPr>
            <w:tcW w:type="dxa" w:w="4320"/>
          </w:tcPr>
          <w:p>
            <w:r>
              <w:rPr>
                <w:b/>
              </w:rPr>
              <w:t>核心内容</w:t>
            </w:r>
          </w:p>
        </w:tc>
      </w:tr>
      <w:tr>
        <w:tc>
          <w:tcPr>
            <w:tcW w:type="dxa" w:w="4320"/>
          </w:tcPr>
          <w:p>
            <w:r>
              <w:t>我是谁</w:t>
            </w:r>
          </w:p>
        </w:tc>
        <w:tc>
          <w:tcPr>
            <w:tcW w:type="dxa" w:w="4320"/>
          </w:tcPr>
          <w:p>
            <w:r>
              <w:t>证券经纪服务商，连接投资者与资本市场</w:t>
            </w:r>
          </w:p>
        </w:tc>
      </w:tr>
      <w:tr>
        <w:tc>
          <w:tcPr>
            <w:tcW w:type="dxa" w:w="4320"/>
          </w:tcPr>
          <w:p>
            <w:r>
              <w:t>为谁服务</w:t>
            </w:r>
          </w:p>
        </w:tc>
        <w:tc>
          <w:tcPr>
            <w:tcW w:type="dxa" w:w="4320"/>
          </w:tcPr>
          <w:p>
            <w:r>
              <w:t>个人投资者、机构投资者、企业客户</w:t>
            </w:r>
          </w:p>
        </w:tc>
      </w:tr>
      <w:tr>
        <w:tc>
          <w:tcPr>
            <w:tcW w:type="dxa" w:w="4320"/>
          </w:tcPr>
          <w:p>
            <w:r>
              <w:t>提供什么</w:t>
            </w:r>
          </w:p>
        </w:tc>
        <w:tc>
          <w:tcPr>
            <w:tcW w:type="dxa" w:w="4320"/>
          </w:tcPr>
          <w:p>
            <w:r>
              <w:t>交易通道、账户服务、投资咨询、财富管理</w:t>
            </w:r>
          </w:p>
        </w:tc>
      </w:tr>
      <w:tr>
        <w:tc>
          <w:tcPr>
            <w:tcW w:type="dxa" w:w="4320"/>
          </w:tcPr>
          <w:p>
            <w:r>
              <w:t>怎么赚钱</w:t>
            </w:r>
          </w:p>
        </w:tc>
        <w:tc>
          <w:tcPr>
            <w:tcW w:type="dxa" w:w="4320"/>
          </w:tcPr>
          <w:p>
            <w:r>
              <w:t>佣金、利息、服务费</w:t>
            </w:r>
          </w:p>
        </w:tc>
      </w:tr>
      <w:tr>
        <w:tc>
          <w:tcPr>
            <w:tcW w:type="dxa" w:w="4320"/>
          </w:tcPr>
          <w:p>
            <w:r>
              <w:t>核心能力</w:t>
            </w:r>
          </w:p>
        </w:tc>
        <w:tc>
          <w:tcPr>
            <w:tcW w:type="dxa" w:w="4320"/>
          </w:tcPr>
          <w:p>
            <w:r>
              <w:t>交易系统、风控体系、客户服务、合规管理</w:t>
            </w:r>
          </w:p>
        </w:tc>
      </w:tr>
      <w:tr>
        <w:tc>
          <w:tcPr>
            <w:tcW w:type="dxa" w:w="4320"/>
          </w:tcPr>
          <w:p>
            <w:r>
              <w:t>关键资源</w:t>
            </w:r>
          </w:p>
        </w:tc>
        <w:tc>
          <w:tcPr>
            <w:tcW w:type="dxa" w:w="4320"/>
          </w:tcPr>
          <w:p>
            <w:r>
              <w:t>牌照、客户、技术、人才</w:t>
            </w:r>
          </w:p>
        </w:tc>
      </w:tr>
      <w:tr>
        <w:tc>
          <w:tcPr>
            <w:tcW w:type="dxa" w:w="4320"/>
          </w:tcPr>
          <w:p>
            <w:r>
              <w:t>受谁监管</w:t>
            </w:r>
          </w:p>
        </w:tc>
        <w:tc>
          <w:tcPr>
            <w:tcW w:type="dxa" w:w="4320"/>
          </w:tcPr>
          <w:p>
            <w:r>
              <w:t>证监会、交易所、中登公司、协会</w:t>
            </w:r>
          </w:p>
        </w:tc>
      </w:tr>
      <w:tr>
        <w:tc>
          <w:tcPr>
            <w:tcW w:type="dxa" w:w="4320"/>
          </w:tcPr>
          <w:p>
            <w:r>
              <w:t>风险在哪</w:t>
            </w:r>
          </w:p>
        </w:tc>
        <w:tc>
          <w:tcPr>
            <w:tcW w:type="dxa" w:w="4320"/>
          </w:tcPr>
          <w:p>
            <w:r>
              <w:t>市场风险、操作风险、合规风险、技术风险</w:t>
            </w:r>
          </w:p>
        </w:tc>
      </w:tr>
    </w:tbl>
    <w:p/>
    <w:p>
      <w:pPr>
        <w:pStyle w:val="Heading2"/>
      </w:pPr>
      <w:r>
        <w:t>应用建议</w:t>
      </w:r>
    </w:p>
    <w:p>
      <w:pPr>
        <w:pStyle w:val="ListBullet"/>
      </w:pPr>
      <w:r>
        <w:t>对高层汇报：聚焦全景图 + 盈利模式 + 核心指标</w:t>
      </w:r>
    </w:p>
    <w:p>
      <w:pPr>
        <w:pStyle w:val="ListBullet"/>
      </w:pPr>
      <w:r>
        <w:t>对业务部门：聚焦价值链 + 业务流程 + 组织架构</w:t>
      </w:r>
    </w:p>
    <w:p>
      <w:pPr>
        <w:pStyle w:val="ListBullet"/>
      </w:pPr>
      <w:r>
        <w:t>对技术团队：聚焦技术架构 + DDD 域划分 + 关键指标</w:t>
      </w:r>
    </w:p>
    <w:p>
      <w:pPr>
        <w:pStyle w:val="ListBullet"/>
      </w:pPr>
      <w:r>
        <w:t>对监管机构：聚焦合规框架 + 风控体系 + 风险管理</w:t>
      </w:r>
    </w:p>
    <w:p>
      <w:r>
        <w:br w:type="page"/>
      </w:r>
    </w:p>
    <w:p>
      <w:pPr>
        <w:jc w:val="center"/>
      </w:pPr>
      <w:r>
        <w:rPr>
          <w:color w:val="808080"/>
          <w:sz w:val="18"/>
        </w:rPr>
        <w:t>文档生成时间：2026-04-13 14:00:42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微软雅黑" w:hAnsi="微软雅黑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